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34" w:rsidRPr="0085054E" w:rsidRDefault="00155165">
      <w:pPr>
        <w:rPr>
          <w:rFonts w:ascii="Bookman Old Style" w:hAnsi="Bookman Old Style"/>
          <w:b/>
          <w:color w:val="0000FF"/>
        </w:rPr>
      </w:pPr>
      <w:r w:rsidRPr="00155165">
        <w:rPr>
          <w:rFonts w:ascii="Century Schoolbook" w:hAnsi="Century Schoolbook"/>
          <w:b/>
          <w:color w:val="0000FF"/>
        </w:rPr>
        <w:t>GR sent for Movement Type not configured fails in SAP PI</w:t>
      </w:r>
      <w:r w:rsidR="00DF6E6F" w:rsidRPr="000D58CE">
        <w:rPr>
          <w:rFonts w:ascii="Century Schoolbook" w:hAnsi="Century Schoolbook"/>
          <w:b/>
          <w:color w:val="0000FF"/>
        </w:rPr>
        <w:t>:</w:t>
      </w:r>
    </w:p>
    <w:p w:rsidR="0006423C" w:rsidRPr="0006423C" w:rsidRDefault="0006423C" w:rsidP="0006423C">
      <w:pPr>
        <w:shd w:val="clear" w:color="auto" w:fill="A8C5EB"/>
        <w:spacing w:after="0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b/>
          <w:bCs/>
          <w:color w:val="333333"/>
        </w:rPr>
        <w:t>Issue</w:t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color w:val="333333"/>
        </w:rPr>
        <w:t>Goods Receipt (GRN) sent for the Movement Types 104, 105 and 106 are failing and producing Errors in SAP PI.</w:t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b/>
          <w:bCs/>
          <w:i/>
          <w:iCs/>
          <w:color w:val="EC2027"/>
        </w:rPr>
        <w:t>"Split Mapping created no messages"</w:t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b/>
          <w:bCs/>
          <w:i/>
          <w:iCs/>
          <w:color w:val="EC2027"/>
        </w:rPr>
        <w:t>"Splitting to 0 messages is not allowed"</w:t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noProof/>
          <w:color w:val="333333"/>
        </w:rPr>
        <w:drawing>
          <wp:inline distT="0" distB="0" distL="0" distR="0">
            <wp:extent cx="13144500" cy="5648325"/>
            <wp:effectExtent l="0" t="0" r="0" b="9525"/>
            <wp:docPr id="12" name="Picture 12" descr="https://knowledge.ariba.com/images_RTE/1D8PKHN58f9cbbeaf3fbblobi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nowledge.ariba.com/images_RTE/1D8PKHN58f9cbbeaf3fbblobid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noProof/>
          <w:color w:val="333333"/>
        </w:rPr>
        <w:drawing>
          <wp:inline distT="0" distB="0" distL="0" distR="0">
            <wp:extent cx="7972425" cy="3105150"/>
            <wp:effectExtent l="0" t="0" r="9525" b="0"/>
            <wp:docPr id="11" name="Picture 11" descr="https://knowledge.ariba.com/images_RTE/1D8PKHN58f9cbb4986c7blobi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nowledge.ariba.com/images_RTE/1D8PKHN58f9cbb4986c7blobid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</w:p>
    <w:p w:rsidR="0006423C" w:rsidRPr="0006423C" w:rsidRDefault="0006423C" w:rsidP="0006423C">
      <w:pPr>
        <w:shd w:val="clear" w:color="auto" w:fill="A8C5EB"/>
        <w:spacing w:after="0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b/>
          <w:bCs/>
          <w:color w:val="333333"/>
        </w:rPr>
        <w:t>Cause</w:t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color w:val="333333"/>
        </w:rPr>
        <w:t>The reason is Customers have not maintained the necessary Parameters / Configurations in SAP ECC for the Movement Types 104, 105 and 106.</w:t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color w:val="333333"/>
        </w:rPr>
        <w:t>Because of this an Empty Goods Receipt Message is sent to PI and PI fails to process the message to Ariba Network.</w:t>
      </w:r>
    </w:p>
    <w:p w:rsidR="0006423C" w:rsidRPr="0006423C" w:rsidRDefault="0006423C" w:rsidP="0006423C">
      <w:pPr>
        <w:shd w:val="clear" w:color="auto" w:fill="A8C5EB"/>
        <w:spacing w:after="0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b/>
          <w:bCs/>
          <w:color w:val="333333"/>
        </w:rPr>
        <w:t>Solution</w:t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color w:val="333333"/>
        </w:rPr>
        <w:t>We have suggested the Customers to maintain the below Parameters in ECC Table - /ARBA/PARAM_TAB using the T-Code SM30.</w:t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color w:val="333333"/>
        </w:rPr>
        <w:t>ECC Table - /ARBA/PARAM_TAB</w:t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noProof/>
          <w:color w:val="333333"/>
        </w:rPr>
        <w:drawing>
          <wp:inline distT="0" distB="0" distL="0" distR="0">
            <wp:extent cx="5991225" cy="3609975"/>
            <wp:effectExtent l="0" t="0" r="9525" b="9525"/>
            <wp:docPr id="10" name="Picture 10" descr="https://knowledge.ariba.com/images_RTE/1D8PKHN58f9cd332f092blobi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nowledge.ariba.com/images_RTE/1D8PKHN58f9cd332f092blobid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color w:val="333333"/>
        </w:rPr>
        <w:t> </w:t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noProof/>
          <w:color w:val="333333"/>
        </w:rPr>
        <w:drawing>
          <wp:inline distT="0" distB="0" distL="0" distR="0">
            <wp:extent cx="5857875" cy="3143250"/>
            <wp:effectExtent l="0" t="0" r="9525" b="0"/>
            <wp:docPr id="9" name="Picture 9" descr="https://knowledge.ariba.com/images_RTE/1D8PKHN58f9cd330cb45blobi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nowledge.ariba.com/images_RTE/1D8PKHN58f9cd330cb45blobid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color w:val="333333"/>
        </w:rPr>
        <w:t> </w:t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noProof/>
          <w:color w:val="333333"/>
        </w:rPr>
        <w:drawing>
          <wp:inline distT="0" distB="0" distL="0" distR="0">
            <wp:extent cx="5867400" cy="3000375"/>
            <wp:effectExtent l="0" t="0" r="0" b="9525"/>
            <wp:docPr id="8" name="Picture 8" descr="https://knowledge.ariba.com/images_RTE/1D8PKHN58f9cd331084eblobi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nowledge.ariba.com/images_RTE/1D8PKHN58f9cd331084eblobid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color w:val="333333"/>
        </w:rPr>
        <w:t> </w:t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noProof/>
          <w:color w:val="333333"/>
        </w:rPr>
        <w:drawing>
          <wp:inline distT="0" distB="0" distL="0" distR="0">
            <wp:extent cx="5924550" cy="2933700"/>
            <wp:effectExtent l="0" t="0" r="0" b="0"/>
            <wp:docPr id="7" name="Picture 7" descr="https://knowledge.ariba.com/images_RTE/1D8PKHN58f9cd331084eblobi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nowledge.ariba.com/images_RTE/1D8PKHN58f9cd331084eblobid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color w:val="333333"/>
        </w:rPr>
        <w:t> </w:t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color w:val="333333"/>
        </w:rPr>
        <w:t>Created GR’s with Movement Types in the order 103, 105 and 106 and sent to Ariba.</w:t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noProof/>
          <w:color w:val="333333"/>
        </w:rPr>
        <w:drawing>
          <wp:inline distT="0" distB="0" distL="0" distR="0">
            <wp:extent cx="13230225" cy="5219700"/>
            <wp:effectExtent l="0" t="0" r="9525" b="0"/>
            <wp:docPr id="6" name="Picture 6" descr="https://knowledge.ariba.com/images_RTE/1D8PKHN58f9cd337b53eblobi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nowledge.ariba.com/images_RTE/1D8PKHN58f9cd337b53eblobi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0225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color w:val="333333"/>
        </w:rPr>
        <w:t> </w:t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color w:val="333333"/>
        </w:rPr>
        <w:t>GR’s with Movement Types 103, 105 and 106 reached Ariba successfully:</w:t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color w:val="333333"/>
        </w:rPr>
        <w:t> </w:t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noProof/>
          <w:color w:val="333333"/>
        </w:rPr>
        <w:drawing>
          <wp:inline distT="0" distB="0" distL="0" distR="0">
            <wp:extent cx="12687300" cy="4457700"/>
            <wp:effectExtent l="0" t="0" r="0" b="0"/>
            <wp:docPr id="5" name="Picture 5" descr="https://knowledge.ariba.com/images_RTE/1D8PKHN58f9cd3349bcfblobi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nowledge.ariba.com/images_RTE/1D8PKHN58f9cd3349bcfblobid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color w:val="333333"/>
        </w:rPr>
        <w:t> </w:t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color w:val="333333"/>
        </w:rPr>
        <w:t> </w:t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b/>
          <w:bCs/>
          <w:color w:val="333333"/>
        </w:rPr>
        <w:t>Movement Type: 103</w:t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noProof/>
          <w:color w:val="333333"/>
        </w:rPr>
        <w:drawing>
          <wp:inline distT="0" distB="0" distL="0" distR="0">
            <wp:extent cx="12163425" cy="5934075"/>
            <wp:effectExtent l="0" t="0" r="9525" b="9525"/>
            <wp:docPr id="4" name="Picture 4" descr="https://knowledge.ariba.com/images_RTE/1D8PKHN58f9cd337f247blobi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nowledge.ariba.com/images_RTE/1D8PKHN58f9cd337f247blobid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34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color w:val="333333"/>
        </w:rPr>
        <w:t> </w:t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color w:val="333333"/>
        </w:rPr>
        <w:t> </w:t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b/>
          <w:bCs/>
          <w:color w:val="333333"/>
        </w:rPr>
        <w:t>Movement Type: 105</w:t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color w:val="333333"/>
        </w:rPr>
        <w:t> </w:t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noProof/>
          <w:color w:val="333333"/>
        </w:rPr>
        <w:drawing>
          <wp:inline distT="0" distB="0" distL="0" distR="0">
            <wp:extent cx="12096750" cy="5981700"/>
            <wp:effectExtent l="0" t="0" r="0" b="0"/>
            <wp:docPr id="3" name="Picture 3" descr="https://knowledge.ariba.com/images_RTE/1D8PKHN58f9cd3382f50blobid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nowledge.ariba.com/images_RTE/1D8PKHN58f9cd3382f50blobid1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color w:val="333333"/>
        </w:rPr>
        <w:t> </w:t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color w:val="333333"/>
        </w:rPr>
        <w:t> </w:t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b/>
          <w:bCs/>
          <w:color w:val="333333"/>
        </w:rPr>
        <w:t>Movement Type: 106</w:t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noProof/>
          <w:color w:val="333333"/>
        </w:rPr>
        <w:drawing>
          <wp:inline distT="0" distB="0" distL="0" distR="0">
            <wp:extent cx="12287250" cy="6105525"/>
            <wp:effectExtent l="0" t="0" r="0" b="9525"/>
            <wp:docPr id="2" name="Picture 2" descr="https://knowledge.ariba.com/images_RTE/1D8PKHN58f9cd3382f50blobid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nowledge.ariba.com/images_RTE/1D8PKHN58f9cd3382f50blobid1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color w:val="333333"/>
        </w:rPr>
        <w:t> </w:t>
      </w:r>
    </w:p>
    <w:p w:rsidR="0006423C" w:rsidRPr="0006423C" w:rsidRDefault="0006423C" w:rsidP="0006423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06423C">
        <w:rPr>
          <w:rFonts w:ascii="Bookman Old Style" w:eastAsia="Times New Roman" w:hAnsi="Bookman Old Style" w:cs="Times New Roman"/>
          <w:color w:val="333333"/>
        </w:rPr>
        <w:t xml:space="preserve">After maintaining the Parameters, Customers </w:t>
      </w:r>
      <w:proofErr w:type="gramStart"/>
      <w:r w:rsidRPr="0006423C">
        <w:rPr>
          <w:rFonts w:ascii="Bookman Old Style" w:eastAsia="Times New Roman" w:hAnsi="Bookman Old Style" w:cs="Times New Roman"/>
          <w:color w:val="333333"/>
        </w:rPr>
        <w:t>were able to</w:t>
      </w:r>
      <w:proofErr w:type="gramEnd"/>
      <w:r w:rsidRPr="0006423C">
        <w:rPr>
          <w:rFonts w:ascii="Bookman Old Style" w:eastAsia="Times New Roman" w:hAnsi="Bookman Old Style" w:cs="Times New Roman"/>
          <w:color w:val="333333"/>
        </w:rPr>
        <w:t xml:space="preserve"> send GR successfully to AN and the issue is resolved.</w:t>
      </w:r>
    </w:p>
    <w:p w:rsidR="003F4B76" w:rsidRPr="0006423C" w:rsidRDefault="003F4B76" w:rsidP="0006423C">
      <w:pPr>
        <w:shd w:val="clear" w:color="auto" w:fill="A8C5EB"/>
        <w:rPr>
          <w:rFonts w:ascii="Bookman Old Style" w:hAnsi="Bookman Old Style"/>
          <w:color w:val="1F497D"/>
        </w:rPr>
      </w:pPr>
    </w:p>
    <w:sectPr w:rsidR="003F4B76" w:rsidRPr="00064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AE552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E07B1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54E0F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1EF7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D1C36C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72C8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329E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D6393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BAC0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4E50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248C3"/>
    <w:multiLevelType w:val="multilevel"/>
    <w:tmpl w:val="2DCE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DC4F77"/>
    <w:multiLevelType w:val="multilevel"/>
    <w:tmpl w:val="7E62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C11F73"/>
    <w:multiLevelType w:val="multilevel"/>
    <w:tmpl w:val="7DC4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134A21"/>
    <w:multiLevelType w:val="multilevel"/>
    <w:tmpl w:val="3F9EE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7A4E93"/>
    <w:multiLevelType w:val="hybridMultilevel"/>
    <w:tmpl w:val="1766F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B663FE"/>
    <w:multiLevelType w:val="multilevel"/>
    <w:tmpl w:val="B17A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B21430"/>
    <w:multiLevelType w:val="multilevel"/>
    <w:tmpl w:val="5E46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E41410"/>
    <w:multiLevelType w:val="multilevel"/>
    <w:tmpl w:val="B570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C609AC"/>
    <w:multiLevelType w:val="multilevel"/>
    <w:tmpl w:val="78BE85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F32A4F"/>
    <w:multiLevelType w:val="multilevel"/>
    <w:tmpl w:val="C1E065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CB6D43"/>
    <w:multiLevelType w:val="multilevel"/>
    <w:tmpl w:val="C6C2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7C631F"/>
    <w:multiLevelType w:val="multilevel"/>
    <w:tmpl w:val="D8BC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847A9C"/>
    <w:multiLevelType w:val="hybridMultilevel"/>
    <w:tmpl w:val="308E2B88"/>
    <w:lvl w:ilvl="0" w:tplc="AFDE70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35BB3"/>
    <w:multiLevelType w:val="multilevel"/>
    <w:tmpl w:val="51521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D229F7"/>
    <w:multiLevelType w:val="multilevel"/>
    <w:tmpl w:val="3EDAC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6C38B6"/>
    <w:multiLevelType w:val="multilevel"/>
    <w:tmpl w:val="CFF6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EF3500"/>
    <w:multiLevelType w:val="multilevel"/>
    <w:tmpl w:val="E604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A129D3"/>
    <w:multiLevelType w:val="multilevel"/>
    <w:tmpl w:val="5C12A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375724"/>
    <w:multiLevelType w:val="multilevel"/>
    <w:tmpl w:val="A670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18082D"/>
    <w:multiLevelType w:val="multilevel"/>
    <w:tmpl w:val="AAEA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AE677B"/>
    <w:multiLevelType w:val="multilevel"/>
    <w:tmpl w:val="5B08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AF0459"/>
    <w:multiLevelType w:val="multilevel"/>
    <w:tmpl w:val="D03C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023232"/>
    <w:multiLevelType w:val="multilevel"/>
    <w:tmpl w:val="B540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E12DE4"/>
    <w:multiLevelType w:val="multilevel"/>
    <w:tmpl w:val="90AE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A0D0742"/>
    <w:multiLevelType w:val="multilevel"/>
    <w:tmpl w:val="3FF62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185DD3"/>
    <w:multiLevelType w:val="multilevel"/>
    <w:tmpl w:val="3E56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850FA4"/>
    <w:multiLevelType w:val="multilevel"/>
    <w:tmpl w:val="9158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2E36F9"/>
    <w:multiLevelType w:val="multilevel"/>
    <w:tmpl w:val="40B4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367F18"/>
    <w:multiLevelType w:val="multilevel"/>
    <w:tmpl w:val="138AF4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C373B5"/>
    <w:multiLevelType w:val="multilevel"/>
    <w:tmpl w:val="6E0C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811FDB"/>
    <w:multiLevelType w:val="multilevel"/>
    <w:tmpl w:val="8D3C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037231"/>
    <w:multiLevelType w:val="multilevel"/>
    <w:tmpl w:val="2D687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EA0091"/>
    <w:multiLevelType w:val="multilevel"/>
    <w:tmpl w:val="DB04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91168F"/>
    <w:multiLevelType w:val="multilevel"/>
    <w:tmpl w:val="44D6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A625D8"/>
    <w:multiLevelType w:val="multilevel"/>
    <w:tmpl w:val="03D4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D470A9"/>
    <w:multiLevelType w:val="multilevel"/>
    <w:tmpl w:val="C2D4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6"/>
  </w:num>
  <w:num w:numId="3">
    <w:abstractNumId w:val="14"/>
  </w:num>
  <w:num w:numId="4">
    <w:abstractNumId w:val="45"/>
  </w:num>
  <w:num w:numId="5">
    <w:abstractNumId w:val="11"/>
  </w:num>
  <w:num w:numId="6">
    <w:abstractNumId w:val="29"/>
  </w:num>
  <w:num w:numId="7">
    <w:abstractNumId w:val="42"/>
  </w:num>
  <w:num w:numId="8">
    <w:abstractNumId w:val="12"/>
  </w:num>
  <w:num w:numId="9">
    <w:abstractNumId w:val="26"/>
  </w:num>
  <w:num w:numId="10">
    <w:abstractNumId w:val="23"/>
  </w:num>
  <w:num w:numId="11">
    <w:abstractNumId w:val="21"/>
  </w:num>
  <w:num w:numId="12">
    <w:abstractNumId w:val="41"/>
  </w:num>
  <w:num w:numId="13">
    <w:abstractNumId w:val="18"/>
  </w:num>
  <w:num w:numId="14">
    <w:abstractNumId w:val="22"/>
  </w:num>
  <w:num w:numId="15">
    <w:abstractNumId w:val="43"/>
  </w:num>
  <w:num w:numId="16">
    <w:abstractNumId w:val="39"/>
  </w:num>
  <w:num w:numId="17">
    <w:abstractNumId w:val="31"/>
  </w:num>
  <w:num w:numId="18">
    <w:abstractNumId w:val="28"/>
  </w:num>
  <w:num w:numId="19">
    <w:abstractNumId w:val="35"/>
  </w:num>
  <w:num w:numId="20">
    <w:abstractNumId w:val="32"/>
  </w:num>
  <w:num w:numId="21">
    <w:abstractNumId w:val="37"/>
  </w:num>
  <w:num w:numId="22">
    <w:abstractNumId w:val="15"/>
  </w:num>
  <w:num w:numId="23">
    <w:abstractNumId w:val="17"/>
  </w:num>
  <w:num w:numId="24">
    <w:abstractNumId w:val="44"/>
  </w:num>
  <w:num w:numId="25">
    <w:abstractNumId w:val="4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4"/>
  </w:num>
  <w:num w:numId="37">
    <w:abstractNumId w:val="16"/>
  </w:num>
  <w:num w:numId="38">
    <w:abstractNumId w:val="13"/>
  </w:num>
  <w:num w:numId="39">
    <w:abstractNumId w:val="33"/>
  </w:num>
  <w:num w:numId="40">
    <w:abstractNumId w:val="24"/>
  </w:num>
  <w:num w:numId="41">
    <w:abstractNumId w:val="25"/>
  </w:num>
  <w:num w:numId="42">
    <w:abstractNumId w:val="38"/>
  </w:num>
  <w:num w:numId="43">
    <w:abstractNumId w:val="10"/>
  </w:num>
  <w:num w:numId="44">
    <w:abstractNumId w:val="19"/>
  </w:num>
  <w:num w:numId="45">
    <w:abstractNumId w:val="20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6F"/>
    <w:rsid w:val="000012BE"/>
    <w:rsid w:val="0001760F"/>
    <w:rsid w:val="00021AAB"/>
    <w:rsid w:val="00025BEE"/>
    <w:rsid w:val="00035175"/>
    <w:rsid w:val="0006423C"/>
    <w:rsid w:val="00077E95"/>
    <w:rsid w:val="000870F2"/>
    <w:rsid w:val="00090F40"/>
    <w:rsid w:val="0009617B"/>
    <w:rsid w:val="000B7838"/>
    <w:rsid w:val="000D032D"/>
    <w:rsid w:val="000D4AEC"/>
    <w:rsid w:val="000D58CE"/>
    <w:rsid w:val="000E1B27"/>
    <w:rsid w:val="000E2504"/>
    <w:rsid w:val="0010230F"/>
    <w:rsid w:val="0010762C"/>
    <w:rsid w:val="001457AF"/>
    <w:rsid w:val="00155165"/>
    <w:rsid w:val="001569EA"/>
    <w:rsid w:val="0016733D"/>
    <w:rsid w:val="00193279"/>
    <w:rsid w:val="001A244E"/>
    <w:rsid w:val="001A7777"/>
    <w:rsid w:val="001B327D"/>
    <w:rsid w:val="001C7DE9"/>
    <w:rsid w:val="001D3E51"/>
    <w:rsid w:val="001E2611"/>
    <w:rsid w:val="001E3E7B"/>
    <w:rsid w:val="001E4B48"/>
    <w:rsid w:val="00202746"/>
    <w:rsid w:val="00206E8A"/>
    <w:rsid w:val="00211268"/>
    <w:rsid w:val="00211A8B"/>
    <w:rsid w:val="002224B6"/>
    <w:rsid w:val="002250FA"/>
    <w:rsid w:val="00233270"/>
    <w:rsid w:val="00233AAA"/>
    <w:rsid w:val="002874CF"/>
    <w:rsid w:val="002B3CD6"/>
    <w:rsid w:val="002B58BE"/>
    <w:rsid w:val="002B6702"/>
    <w:rsid w:val="002C7A75"/>
    <w:rsid w:val="002F11DA"/>
    <w:rsid w:val="002F2541"/>
    <w:rsid w:val="002F2752"/>
    <w:rsid w:val="00302504"/>
    <w:rsid w:val="00304845"/>
    <w:rsid w:val="00305ACB"/>
    <w:rsid w:val="00306CFA"/>
    <w:rsid w:val="00314E54"/>
    <w:rsid w:val="00322739"/>
    <w:rsid w:val="003314BF"/>
    <w:rsid w:val="0034238B"/>
    <w:rsid w:val="00353436"/>
    <w:rsid w:val="00353DDD"/>
    <w:rsid w:val="0038514E"/>
    <w:rsid w:val="003D498F"/>
    <w:rsid w:val="003D592E"/>
    <w:rsid w:val="003E2542"/>
    <w:rsid w:val="003E7661"/>
    <w:rsid w:val="003F4B76"/>
    <w:rsid w:val="00402F19"/>
    <w:rsid w:val="00407E8D"/>
    <w:rsid w:val="00413FE0"/>
    <w:rsid w:val="00437DA1"/>
    <w:rsid w:val="00446CA5"/>
    <w:rsid w:val="00467B95"/>
    <w:rsid w:val="004B5B03"/>
    <w:rsid w:val="00526199"/>
    <w:rsid w:val="00550217"/>
    <w:rsid w:val="00555DAC"/>
    <w:rsid w:val="0055778F"/>
    <w:rsid w:val="005605A9"/>
    <w:rsid w:val="00583051"/>
    <w:rsid w:val="00583858"/>
    <w:rsid w:val="00587A64"/>
    <w:rsid w:val="005B2CBE"/>
    <w:rsid w:val="005B4FA6"/>
    <w:rsid w:val="005D1D84"/>
    <w:rsid w:val="005F2CBD"/>
    <w:rsid w:val="005F7710"/>
    <w:rsid w:val="006207D6"/>
    <w:rsid w:val="00622D3D"/>
    <w:rsid w:val="00635767"/>
    <w:rsid w:val="00641BDF"/>
    <w:rsid w:val="00651E62"/>
    <w:rsid w:val="00656389"/>
    <w:rsid w:val="00677E74"/>
    <w:rsid w:val="006824AF"/>
    <w:rsid w:val="00683D7F"/>
    <w:rsid w:val="006B56FF"/>
    <w:rsid w:val="006B6109"/>
    <w:rsid w:val="006B79A9"/>
    <w:rsid w:val="006D4961"/>
    <w:rsid w:val="006D75FC"/>
    <w:rsid w:val="00723D50"/>
    <w:rsid w:val="0073204C"/>
    <w:rsid w:val="00750D98"/>
    <w:rsid w:val="00752C13"/>
    <w:rsid w:val="00757737"/>
    <w:rsid w:val="00757CC2"/>
    <w:rsid w:val="007617A9"/>
    <w:rsid w:val="00762177"/>
    <w:rsid w:val="00764683"/>
    <w:rsid w:val="00764A3D"/>
    <w:rsid w:val="007948E2"/>
    <w:rsid w:val="007C7741"/>
    <w:rsid w:val="007D6481"/>
    <w:rsid w:val="007E07F0"/>
    <w:rsid w:val="007E7532"/>
    <w:rsid w:val="0080567C"/>
    <w:rsid w:val="00832C6C"/>
    <w:rsid w:val="008411C0"/>
    <w:rsid w:val="008429C9"/>
    <w:rsid w:val="0085054E"/>
    <w:rsid w:val="00850CE1"/>
    <w:rsid w:val="00850E5F"/>
    <w:rsid w:val="00871167"/>
    <w:rsid w:val="008759FB"/>
    <w:rsid w:val="00883816"/>
    <w:rsid w:val="008A165F"/>
    <w:rsid w:val="008B2730"/>
    <w:rsid w:val="008D2636"/>
    <w:rsid w:val="008E64D4"/>
    <w:rsid w:val="00915FB1"/>
    <w:rsid w:val="00917293"/>
    <w:rsid w:val="009206E2"/>
    <w:rsid w:val="00924FA4"/>
    <w:rsid w:val="00926DC7"/>
    <w:rsid w:val="00936A01"/>
    <w:rsid w:val="00954FB0"/>
    <w:rsid w:val="009702E3"/>
    <w:rsid w:val="009723C9"/>
    <w:rsid w:val="009876CF"/>
    <w:rsid w:val="00995BDB"/>
    <w:rsid w:val="009A3D3C"/>
    <w:rsid w:val="009B332B"/>
    <w:rsid w:val="009C1D78"/>
    <w:rsid w:val="009C5CC3"/>
    <w:rsid w:val="009D69C2"/>
    <w:rsid w:val="009F5F47"/>
    <w:rsid w:val="00A04BA5"/>
    <w:rsid w:val="00A10FDD"/>
    <w:rsid w:val="00A2126F"/>
    <w:rsid w:val="00A238AE"/>
    <w:rsid w:val="00A27EA1"/>
    <w:rsid w:val="00A41ECB"/>
    <w:rsid w:val="00A97E87"/>
    <w:rsid w:val="00AA592E"/>
    <w:rsid w:val="00AB2AE8"/>
    <w:rsid w:val="00AB501F"/>
    <w:rsid w:val="00AB5D74"/>
    <w:rsid w:val="00AB6916"/>
    <w:rsid w:val="00AD1A40"/>
    <w:rsid w:val="00AD62D9"/>
    <w:rsid w:val="00AE101F"/>
    <w:rsid w:val="00AE16DC"/>
    <w:rsid w:val="00AE2DBC"/>
    <w:rsid w:val="00AF0526"/>
    <w:rsid w:val="00AF2DC9"/>
    <w:rsid w:val="00B22034"/>
    <w:rsid w:val="00B33BA7"/>
    <w:rsid w:val="00B6173D"/>
    <w:rsid w:val="00B672B2"/>
    <w:rsid w:val="00B71313"/>
    <w:rsid w:val="00BA30A6"/>
    <w:rsid w:val="00BA6336"/>
    <w:rsid w:val="00BB1BDA"/>
    <w:rsid w:val="00BB50A2"/>
    <w:rsid w:val="00BC36E7"/>
    <w:rsid w:val="00BD5DD8"/>
    <w:rsid w:val="00C22C97"/>
    <w:rsid w:val="00C42433"/>
    <w:rsid w:val="00C42D6E"/>
    <w:rsid w:val="00C640A8"/>
    <w:rsid w:val="00C6678B"/>
    <w:rsid w:val="00C70B51"/>
    <w:rsid w:val="00C81DE0"/>
    <w:rsid w:val="00C93341"/>
    <w:rsid w:val="00C93DE1"/>
    <w:rsid w:val="00CB42AD"/>
    <w:rsid w:val="00CC213C"/>
    <w:rsid w:val="00CC4E5E"/>
    <w:rsid w:val="00CD258B"/>
    <w:rsid w:val="00CF1EE9"/>
    <w:rsid w:val="00D1650D"/>
    <w:rsid w:val="00D3343D"/>
    <w:rsid w:val="00D358FC"/>
    <w:rsid w:val="00D55A01"/>
    <w:rsid w:val="00D57482"/>
    <w:rsid w:val="00D87AA8"/>
    <w:rsid w:val="00DC633F"/>
    <w:rsid w:val="00DF6DC5"/>
    <w:rsid w:val="00DF6E6F"/>
    <w:rsid w:val="00E155F6"/>
    <w:rsid w:val="00E16175"/>
    <w:rsid w:val="00E167D8"/>
    <w:rsid w:val="00E418DF"/>
    <w:rsid w:val="00E542AB"/>
    <w:rsid w:val="00E63BDD"/>
    <w:rsid w:val="00E66DAF"/>
    <w:rsid w:val="00E85F62"/>
    <w:rsid w:val="00E95A48"/>
    <w:rsid w:val="00EA572E"/>
    <w:rsid w:val="00EA5CE0"/>
    <w:rsid w:val="00EA610C"/>
    <w:rsid w:val="00EB551C"/>
    <w:rsid w:val="00EB69AD"/>
    <w:rsid w:val="00EC6096"/>
    <w:rsid w:val="00F03436"/>
    <w:rsid w:val="00F140A5"/>
    <w:rsid w:val="00F14AEE"/>
    <w:rsid w:val="00F21F4C"/>
    <w:rsid w:val="00F4266A"/>
    <w:rsid w:val="00F4516E"/>
    <w:rsid w:val="00F451B7"/>
    <w:rsid w:val="00F46043"/>
    <w:rsid w:val="00F67454"/>
    <w:rsid w:val="00F7050E"/>
    <w:rsid w:val="00F71564"/>
    <w:rsid w:val="00F7201E"/>
    <w:rsid w:val="00F7537F"/>
    <w:rsid w:val="00F8050F"/>
    <w:rsid w:val="00F83ACB"/>
    <w:rsid w:val="00F9763D"/>
    <w:rsid w:val="00FA5156"/>
    <w:rsid w:val="00FA5D9C"/>
    <w:rsid w:val="00FA7CCC"/>
    <w:rsid w:val="00FB27BC"/>
    <w:rsid w:val="00FC4297"/>
    <w:rsid w:val="00FC5727"/>
    <w:rsid w:val="00FD09B1"/>
    <w:rsid w:val="00FD2BF1"/>
    <w:rsid w:val="00FE4BAA"/>
    <w:rsid w:val="00FF0B89"/>
    <w:rsid w:val="00FF125E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176FC1-FF7D-42A3-8BE3-C9D5BDD0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4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4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4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4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4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4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43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43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6E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58CE"/>
    <w:rPr>
      <w:i/>
      <w:iCs/>
    </w:rPr>
  </w:style>
  <w:style w:type="paragraph" w:styleId="ListParagraph">
    <w:name w:val="List Paragraph"/>
    <w:basedOn w:val="Normal"/>
    <w:uiPriority w:val="34"/>
    <w:qFormat/>
    <w:rsid w:val="00555DA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07E8D"/>
    <w:rPr>
      <w:rFonts w:ascii="Verdana" w:hAnsi="Verdana" w:hint="default"/>
      <w:b w:val="0"/>
      <w:bCs w:val="0"/>
      <w:color w:val="000000"/>
      <w:u w:val="single"/>
    </w:rPr>
  </w:style>
  <w:style w:type="character" w:customStyle="1" w:styleId="apple-converted-space">
    <w:name w:val="apple-converted-space"/>
    <w:basedOn w:val="DefaultParagraphFont"/>
    <w:rsid w:val="00750D98"/>
  </w:style>
  <w:style w:type="paragraph" w:customStyle="1" w:styleId="auchide">
    <w:name w:val="auchide"/>
    <w:basedOn w:val="Normal"/>
    <w:rsid w:val="002C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433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42433"/>
  </w:style>
  <w:style w:type="paragraph" w:styleId="BlockText">
    <w:name w:val="Block Text"/>
    <w:basedOn w:val="Normal"/>
    <w:uiPriority w:val="99"/>
    <w:semiHidden/>
    <w:unhideWhenUsed/>
    <w:rsid w:val="00C4243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424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2433"/>
  </w:style>
  <w:style w:type="paragraph" w:styleId="BodyText2">
    <w:name w:val="Body Text 2"/>
    <w:basedOn w:val="Normal"/>
    <w:link w:val="BodyText2Char"/>
    <w:uiPriority w:val="99"/>
    <w:semiHidden/>
    <w:unhideWhenUsed/>
    <w:rsid w:val="00C424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42433"/>
  </w:style>
  <w:style w:type="paragraph" w:styleId="BodyText3">
    <w:name w:val="Body Text 3"/>
    <w:basedOn w:val="Normal"/>
    <w:link w:val="BodyText3Char"/>
    <w:uiPriority w:val="99"/>
    <w:semiHidden/>
    <w:unhideWhenUsed/>
    <w:rsid w:val="00C424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4243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4243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4243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24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243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4243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4243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424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4243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424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4243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24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42433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42433"/>
  </w:style>
  <w:style w:type="paragraph" w:styleId="CommentText">
    <w:name w:val="annotation text"/>
    <w:basedOn w:val="Normal"/>
    <w:link w:val="CommentTextChar"/>
    <w:uiPriority w:val="99"/>
    <w:semiHidden/>
    <w:unhideWhenUsed/>
    <w:rsid w:val="00C424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4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43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42433"/>
  </w:style>
  <w:style w:type="character" w:customStyle="1" w:styleId="DateChar">
    <w:name w:val="Date Char"/>
    <w:basedOn w:val="DefaultParagraphFont"/>
    <w:link w:val="Date"/>
    <w:uiPriority w:val="99"/>
    <w:semiHidden/>
    <w:rsid w:val="00C42433"/>
  </w:style>
  <w:style w:type="paragraph" w:styleId="DocumentMap">
    <w:name w:val="Document Map"/>
    <w:basedOn w:val="Normal"/>
    <w:link w:val="DocumentMapChar"/>
    <w:uiPriority w:val="99"/>
    <w:semiHidden/>
    <w:unhideWhenUsed/>
    <w:rsid w:val="00C4243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4243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4243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42433"/>
  </w:style>
  <w:style w:type="paragraph" w:styleId="EndnoteText">
    <w:name w:val="endnote text"/>
    <w:basedOn w:val="Normal"/>
    <w:link w:val="EndnoteTextChar"/>
    <w:uiPriority w:val="99"/>
    <w:semiHidden/>
    <w:unhideWhenUsed/>
    <w:rsid w:val="00C4243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243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424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4243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42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2433"/>
  </w:style>
  <w:style w:type="paragraph" w:styleId="FootnoteText">
    <w:name w:val="footnote text"/>
    <w:basedOn w:val="Normal"/>
    <w:link w:val="FootnoteTextChar"/>
    <w:uiPriority w:val="99"/>
    <w:semiHidden/>
    <w:unhideWhenUsed/>
    <w:rsid w:val="00C424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2433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42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2433"/>
  </w:style>
  <w:style w:type="character" w:customStyle="1" w:styleId="Heading1Char">
    <w:name w:val="Heading 1 Char"/>
    <w:basedOn w:val="DefaultParagraphFont"/>
    <w:link w:val="Heading1"/>
    <w:uiPriority w:val="9"/>
    <w:rsid w:val="00C424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4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4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4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4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4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4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4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4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4243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4243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24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243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4243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4243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4243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4243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4243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4243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4243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4243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4243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4243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4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433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C424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424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424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424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424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42433"/>
    <w:pPr>
      <w:numPr>
        <w:numId w:val="2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42433"/>
    <w:pPr>
      <w:numPr>
        <w:numId w:val="2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42433"/>
    <w:pPr>
      <w:numPr>
        <w:numId w:val="2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42433"/>
    <w:pPr>
      <w:numPr>
        <w:numId w:val="2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42433"/>
    <w:pPr>
      <w:numPr>
        <w:numId w:val="3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424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424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424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424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424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42433"/>
    <w:pPr>
      <w:numPr>
        <w:numId w:val="3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42433"/>
    <w:pPr>
      <w:numPr>
        <w:numId w:val="3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42433"/>
    <w:pPr>
      <w:numPr>
        <w:numId w:val="3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42433"/>
    <w:pPr>
      <w:numPr>
        <w:numId w:val="3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42433"/>
    <w:pPr>
      <w:numPr>
        <w:numId w:val="3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424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4243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424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4243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42433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C424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4243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42433"/>
  </w:style>
  <w:style w:type="paragraph" w:styleId="PlainText">
    <w:name w:val="Plain Text"/>
    <w:basedOn w:val="Normal"/>
    <w:link w:val="PlainTextChar"/>
    <w:uiPriority w:val="99"/>
    <w:semiHidden/>
    <w:unhideWhenUsed/>
    <w:rsid w:val="00C424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243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424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43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424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42433"/>
  </w:style>
  <w:style w:type="paragraph" w:styleId="Signature">
    <w:name w:val="Signature"/>
    <w:basedOn w:val="Normal"/>
    <w:link w:val="SignatureChar"/>
    <w:uiPriority w:val="99"/>
    <w:semiHidden/>
    <w:unhideWhenUsed/>
    <w:rsid w:val="00C42433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42433"/>
  </w:style>
  <w:style w:type="paragraph" w:styleId="Subtitle">
    <w:name w:val="Subtitle"/>
    <w:basedOn w:val="Normal"/>
    <w:next w:val="Normal"/>
    <w:link w:val="SubtitleChar"/>
    <w:uiPriority w:val="11"/>
    <w:qFormat/>
    <w:rsid w:val="00C4243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42433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C424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2433"/>
    <w:pPr>
      <w:outlineLvl w:val="9"/>
    </w:pPr>
  </w:style>
  <w:style w:type="character" w:customStyle="1" w:styleId="error">
    <w:name w:val="error"/>
    <w:basedOn w:val="DefaultParagraphFont"/>
    <w:rsid w:val="00F4516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Mohan, Anguraj</cp:lastModifiedBy>
  <cp:revision>300</cp:revision>
  <dcterms:created xsi:type="dcterms:W3CDTF">2014-03-04T11:13:00Z</dcterms:created>
  <dcterms:modified xsi:type="dcterms:W3CDTF">2017-04-21T09:17:00Z</dcterms:modified>
</cp:coreProperties>
</file>